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2FE75" w14:textId="77777777" w:rsidR="001002D6" w:rsidRDefault="002B398C">
      <w:pPr>
        <w:pStyle w:val="Heading1"/>
      </w:pPr>
      <w:r>
        <w:t>Testing</w:t>
      </w:r>
      <w:r>
        <w:rPr>
          <w:rtl/>
        </w:rPr>
        <w:t xml:space="preserve"> بالعربي - قوالب جاهزة</w:t>
      </w:r>
    </w:p>
    <w:p w14:paraId="0DC89D08" w14:textId="77777777" w:rsidR="001002D6" w:rsidRDefault="002B398C">
      <w:pPr>
        <w:pBdr>
          <w:top w:val="nil"/>
          <w:left w:val="nil"/>
          <w:bottom w:val="nil"/>
          <w:right w:val="nil"/>
          <w:between w:val="nil"/>
        </w:pBdr>
        <w:spacing w:after="300"/>
        <w:jc w:val="center"/>
        <w:rPr>
          <w:color w:val="4A5568"/>
          <w:sz w:val="26"/>
          <w:szCs w:val="26"/>
        </w:rPr>
      </w:pPr>
      <w:r>
        <w:rPr>
          <w:color w:val="4A5568"/>
          <w:sz w:val="26"/>
          <w:szCs w:val="26"/>
          <w:rtl/>
        </w:rPr>
        <w:t>قالب قائمة تحقق اختبار سهولة الاستخدام والوصول (</w:t>
      </w:r>
      <w:r>
        <w:rPr>
          <w:color w:val="4A5568"/>
          <w:sz w:val="26"/>
          <w:szCs w:val="26"/>
        </w:rPr>
        <w:t>Usability &amp; Accessibility Checklist</w:t>
      </w:r>
      <w:r>
        <w:rPr>
          <w:color w:val="4A5568"/>
          <w:sz w:val="26"/>
          <w:szCs w:val="26"/>
          <w:rtl/>
        </w:rPr>
        <w:t>)</w:t>
      </w:r>
    </w:p>
    <w:p w14:paraId="643CFD2B" w14:textId="77777777" w:rsidR="001002D6" w:rsidRDefault="002B398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4A5568"/>
          <w:sz w:val="20"/>
          <w:szCs w:val="20"/>
        </w:rPr>
      </w:pPr>
      <w:r>
        <w:rPr>
          <w:color w:val="4A5568"/>
          <w:sz w:val="20"/>
          <w:szCs w:val="20"/>
          <w:rtl/>
        </w:rPr>
        <w:t>دليل شامل لفحص توافق الموقع والتطبيق مع معايير الوصول العالمية (</w:t>
      </w:r>
      <w:r>
        <w:rPr>
          <w:color w:val="4A5568"/>
          <w:sz w:val="20"/>
          <w:szCs w:val="20"/>
        </w:rPr>
        <w:t>WCAG</w:t>
      </w:r>
      <w:r>
        <w:rPr>
          <w:color w:val="4A5568"/>
          <w:sz w:val="20"/>
          <w:szCs w:val="20"/>
          <w:rtl/>
        </w:rPr>
        <w:t xml:space="preserve"> 2.1) وسهولة الاستخدام لكافة المستخدمين.</w:t>
      </w:r>
    </w:p>
    <w:tbl>
      <w:tblPr>
        <w:tblStyle w:val="a"/>
        <w:bidiVisual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1002D6" w14:paraId="09ADA185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C93C7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اسم المشروع: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21F6B3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021DD3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تاريخ الفحص: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3EF79B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1002D6" w14:paraId="2DF3795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1A253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البيئة / الرابط: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13584C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2F2BD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مسؤول الفحص: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B25F01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1002D6" w14:paraId="370A8663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81C4A1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المتصفح / الجهاز: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615B23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F210E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النسخة / الإصدار: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802B51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29D25424" w14:textId="77777777" w:rsidR="001002D6" w:rsidRDefault="002B398C">
      <w:pPr>
        <w:pBdr>
          <w:top w:val="nil"/>
          <w:left w:val="nil"/>
          <w:bottom w:val="nil"/>
          <w:right w:val="nil"/>
          <w:between w:val="nil"/>
        </w:pBdr>
        <w:spacing w:before="480" w:after="555"/>
        <w:ind w:left="180" w:right="180"/>
        <w:rPr>
          <w:color w:val="2D3748"/>
          <w:sz w:val="20"/>
          <w:szCs w:val="20"/>
          <w:shd w:val="clear" w:color="auto" w:fill="F7FAFC"/>
        </w:rPr>
      </w:pPr>
      <w:r>
        <w:rPr>
          <w:b/>
          <w:bCs/>
          <w:color w:val="2D3748"/>
          <w:sz w:val="20"/>
          <w:szCs w:val="20"/>
          <w:shd w:val="clear" w:color="auto" w:fill="F7FAFC"/>
          <w:rtl/>
        </w:rPr>
        <w:t>💡 إرشادات الاستخدام:</w:t>
      </w:r>
      <w:r>
        <w:rPr>
          <w:color w:val="2D3748"/>
          <w:sz w:val="20"/>
          <w:szCs w:val="20"/>
          <w:shd w:val="clear" w:color="auto" w:fill="F7FAFC"/>
          <w:rtl/>
        </w:rPr>
        <w:t xml:space="preserve"> تم تصميم هذه القائمة لضمان تغطية معايير النفاذ الرقمي (</w:t>
      </w:r>
      <w:r>
        <w:rPr>
          <w:color w:val="2D3748"/>
          <w:sz w:val="20"/>
          <w:szCs w:val="20"/>
          <w:shd w:val="clear" w:color="auto" w:fill="F7FAFC"/>
        </w:rPr>
        <w:t>WCAG 2.1 Level A &amp; AA</w:t>
      </w:r>
      <w:r>
        <w:rPr>
          <w:color w:val="2D3748"/>
          <w:sz w:val="20"/>
          <w:szCs w:val="20"/>
          <w:shd w:val="clear" w:color="auto" w:fill="F7FAFC"/>
          <w:rtl/>
        </w:rPr>
        <w:t>) وتجربة المستخدم الميسرة. يرجى وضع</w:t>
      </w:r>
      <w:r>
        <w:rPr>
          <w:rFonts w:ascii="Arial Unicode MS" w:eastAsia="Arial Unicode MS" w:hAnsi="Arial Unicode MS" w:cs="Arial Unicode MS"/>
          <w:color w:val="2D3748"/>
          <w:sz w:val="20"/>
          <w:szCs w:val="20"/>
          <w:shd w:val="clear" w:color="auto" w:fill="F7FAFC"/>
          <w:rtl/>
        </w:rPr>
        <w:t xml:space="preserve"> (✔) </w:t>
      </w:r>
      <w:r>
        <w:rPr>
          <w:color w:val="2D3748"/>
          <w:sz w:val="20"/>
          <w:szCs w:val="20"/>
          <w:shd w:val="clear" w:color="auto" w:fill="F7FAFC"/>
          <w:rtl/>
        </w:rPr>
        <w:t>للحالات المطابقة، و</w:t>
      </w:r>
      <w:r>
        <w:rPr>
          <w:rFonts w:ascii="Arial Unicode MS" w:eastAsia="Arial Unicode MS" w:hAnsi="Arial Unicode MS" w:cs="Arial Unicode MS"/>
          <w:color w:val="2D3748"/>
          <w:sz w:val="20"/>
          <w:szCs w:val="20"/>
          <w:shd w:val="clear" w:color="auto" w:fill="F7FAFC"/>
          <w:rtl/>
        </w:rPr>
        <w:t xml:space="preserve"> (✖) </w:t>
      </w:r>
      <w:r>
        <w:rPr>
          <w:color w:val="2D3748"/>
          <w:sz w:val="20"/>
          <w:szCs w:val="20"/>
          <w:shd w:val="clear" w:color="auto" w:fill="F7FAFC"/>
          <w:rtl/>
        </w:rPr>
        <w:t>للحالات غير المطابقة مع تدوين الملاحظات وتحديد الأولوية لتوجيه فريق التطوير.</w:t>
      </w:r>
    </w:p>
    <w:p w14:paraId="04F2AA32" w14:textId="77777777" w:rsidR="001002D6" w:rsidRDefault="002B398C">
      <w:pPr>
        <w:pStyle w:val="Heading2"/>
        <w:spacing w:before="0"/>
      </w:pPr>
      <w:r>
        <w:rPr>
          <w:rtl/>
        </w:rPr>
        <w:t>1. التنقل باللوحة المفاتيح والتركيز (</w:t>
      </w:r>
      <w:r>
        <w:t>Keyboard Navigation &amp; Focus</w:t>
      </w:r>
      <w:r>
        <w:rPr>
          <w:rtl/>
        </w:rPr>
        <w:t>)</w:t>
      </w:r>
    </w:p>
    <w:p w14:paraId="6C77EDB8" w14:textId="77777777" w:rsidR="001002D6" w:rsidRDefault="0079354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7524D2D8">
          <v:rect id="_x0000_i1025" style="width:0;height:1.5pt" o:hralign="center" o:hrstd="t" o:hr="t" fillcolor="#a0a0a0" stroked="f"/>
        </w:pict>
      </w:r>
    </w:p>
    <w:tbl>
      <w:tblPr>
        <w:tblStyle w:val="a0"/>
        <w:bidiVisual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642"/>
        <w:gridCol w:w="2260"/>
        <w:gridCol w:w="3650"/>
        <w:gridCol w:w="1404"/>
        <w:gridCol w:w="1404"/>
      </w:tblGrid>
      <w:tr w:rsidR="001002D6" w14:paraId="36FA8825" w14:textId="77777777" w:rsidTr="002B398C">
        <w:trPr>
          <w:tblHeader/>
        </w:trPr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E7967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حالة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843F5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عنصر الفحص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7F3DA8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الوصف والتفاصيل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6D275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المعيار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8AB56E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ملاحظات</w:t>
            </w:r>
          </w:p>
          <w:p w14:paraId="0C5F16CE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1002D6" w14:paraId="714C0EF6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45CCD5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CFD59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 xml:space="preserve">التنقل الكامل بـ </w:t>
            </w:r>
            <w:r>
              <w:rPr>
                <w:b/>
                <w:bCs/>
                <w:sz w:val="20"/>
                <w:szCs w:val="20"/>
              </w:rPr>
              <w:t>Tab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42670F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إمكانية الوصول لكافة العناصر التفاعلية (أزرار، روابط، حقول) باستخدام مفتاح </w:t>
            </w:r>
            <w:r>
              <w:rPr>
                <w:sz w:val="20"/>
                <w:szCs w:val="20"/>
              </w:rPr>
              <w:t>Tab</w:t>
            </w:r>
            <w:r>
              <w:rPr>
                <w:sz w:val="20"/>
                <w:szCs w:val="20"/>
                <w:rtl/>
              </w:rPr>
              <w:t xml:space="preserve"> فقط.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789CCA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2.1.1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23D26A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0A982039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E6E723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3DCF40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مؤشر التركيز المرئي (</w:t>
            </w:r>
            <w:r>
              <w:rPr>
                <w:b/>
                <w:bCs/>
                <w:sz w:val="20"/>
                <w:szCs w:val="20"/>
              </w:rPr>
              <w:t>Focus Indicator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44CA8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وجود إطار واضح ومحاط بتباين عالٍ يحدد العنصر النشط حالياً عند التنقل بالكيبورد.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1A75AE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2.4.7 (AA)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218FD9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23EE3BF9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18DA8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83A916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تجنب فخ الكيبورد (</w:t>
            </w:r>
            <w:r>
              <w:rPr>
                <w:b/>
                <w:bCs/>
                <w:sz w:val="20"/>
                <w:szCs w:val="20"/>
              </w:rPr>
              <w:t>No Keyboard Trap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FA6E22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عدم احتجاز التركيز داخل أي عنصر (مثل </w:t>
            </w:r>
            <w:r>
              <w:rPr>
                <w:sz w:val="20"/>
                <w:szCs w:val="20"/>
              </w:rPr>
              <w:t>Modals</w:t>
            </w:r>
            <w:r>
              <w:rPr>
                <w:sz w:val="20"/>
                <w:szCs w:val="20"/>
                <w:rtl/>
              </w:rPr>
              <w:t xml:space="preserve"> أو </w:t>
            </w:r>
            <w:r>
              <w:rPr>
                <w:sz w:val="20"/>
                <w:szCs w:val="20"/>
              </w:rPr>
              <w:t>Dropdowns</w:t>
            </w:r>
            <w:r>
              <w:rPr>
                <w:sz w:val="20"/>
                <w:szCs w:val="20"/>
                <w:rtl/>
              </w:rPr>
              <w:t>) بدون طريقة للخروج بالمفتاح (</w:t>
            </w:r>
            <w:r>
              <w:rPr>
                <w:sz w:val="20"/>
                <w:szCs w:val="20"/>
              </w:rPr>
              <w:t>Esc / Tab</w:t>
            </w:r>
            <w:r>
              <w:rPr>
                <w:sz w:val="20"/>
                <w:szCs w:val="20"/>
                <w:rtl/>
              </w:rPr>
              <w:t>).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5FF096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2.1.2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9D6311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56081956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7F8D29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571F3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رابط تخطي المحتوى (</w:t>
            </w:r>
            <w:r>
              <w:rPr>
                <w:b/>
                <w:bCs/>
                <w:sz w:val="20"/>
                <w:szCs w:val="20"/>
              </w:rPr>
              <w:t>Skip to Main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560341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توفر رابط مخفي يظهر عند أول ضغطة </w:t>
            </w:r>
            <w:r>
              <w:rPr>
                <w:sz w:val="20"/>
                <w:szCs w:val="20"/>
              </w:rPr>
              <w:t>Tab</w:t>
            </w:r>
            <w:r>
              <w:rPr>
                <w:sz w:val="20"/>
                <w:szCs w:val="20"/>
                <w:rtl/>
              </w:rPr>
              <w:t xml:space="preserve"> لتخطي القوائم الرئيسية والانتقال للمحتوى المباشر.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C7D93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2.4.1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E5C01E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758E03F0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C0DB4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A9D16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تسلسل التنقل المنطقي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D2E0EA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ترتيب التنقل بالمفاتيح يطابق التسلسل البصري للصفحة من الأعلى للأسفل ومن اليمين لليسار.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0B46F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2.4.3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ADBF3C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43A0649" w14:textId="77777777" w:rsidR="001002D6" w:rsidRDefault="002B398C">
      <w:pPr>
        <w:pStyle w:val="Heading2"/>
      </w:pPr>
      <w:r>
        <w:rPr>
          <w:rtl/>
        </w:rPr>
        <w:t>2. التباين والألوان والرؤية (</w:t>
      </w:r>
      <w:r>
        <w:t>Color &amp; Contrast</w:t>
      </w:r>
      <w:r>
        <w:rPr>
          <w:rtl/>
        </w:rPr>
        <w:t>)</w:t>
      </w:r>
    </w:p>
    <w:p w14:paraId="21101608" w14:textId="77777777" w:rsidR="001002D6" w:rsidRDefault="0079354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20B99D49">
          <v:rect id="_x0000_i1026" style="width:0;height:1.5pt" o:hralign="center" o:hrstd="t" o:hr="t" fillcolor="#a0a0a0" stroked="f"/>
        </w:pict>
      </w:r>
    </w:p>
    <w:tbl>
      <w:tblPr>
        <w:tblStyle w:val="a1"/>
        <w:bidiVisual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732"/>
        <w:gridCol w:w="2170"/>
        <w:gridCol w:w="3650"/>
        <w:gridCol w:w="1404"/>
        <w:gridCol w:w="1404"/>
      </w:tblGrid>
      <w:tr w:rsidR="001002D6" w14:paraId="7CBF5D86" w14:textId="77777777" w:rsidTr="002B398C">
        <w:trPr>
          <w:tblHeader/>
        </w:trPr>
        <w:tc>
          <w:tcPr>
            <w:tcW w:w="73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29FFE3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حالة</w:t>
            </w:r>
          </w:p>
        </w:tc>
        <w:tc>
          <w:tcPr>
            <w:tcW w:w="2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4A45D0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عنصر الفحص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6505B2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الوصف والتفاصيل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984765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المعيار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F7BD5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ملاحظات</w:t>
            </w:r>
          </w:p>
          <w:p w14:paraId="04278FA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1002D6" w14:paraId="58B4D73C" w14:textId="77777777" w:rsidTr="002B398C">
        <w:tc>
          <w:tcPr>
            <w:tcW w:w="73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73C5AE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73828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تبايُّن النص العادي (</w:t>
            </w:r>
            <w:r>
              <w:rPr>
                <w:b/>
                <w:bCs/>
                <w:sz w:val="20"/>
                <w:szCs w:val="20"/>
              </w:rPr>
              <w:t>Contrast Ratio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6402A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نسبة تباين لون النص مع الخلفية لا تقل عن 4.5:1 للنصوص العادية.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C5EFA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1.4.3 (AA)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8865C4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02056C8E" w14:textId="77777777" w:rsidTr="002B398C">
        <w:tc>
          <w:tcPr>
            <w:tcW w:w="73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B1FA21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D59BF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تبايُّن النصوص الكبيرة والأيقونات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CCC2E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نسبة التباين لا تقل عن 3:1 للنصوص الكبيرة (18</w:t>
            </w:r>
            <w:proofErr w:type="spellStart"/>
            <w:r>
              <w:rPr>
                <w:sz w:val="20"/>
                <w:szCs w:val="20"/>
              </w:rPr>
              <w:t>pt</w:t>
            </w:r>
            <w:proofErr w:type="spellEnd"/>
            <w:r>
              <w:rPr>
                <w:sz w:val="20"/>
                <w:szCs w:val="20"/>
                <w:rtl/>
              </w:rPr>
              <w:t>+) والعناصر الرسومية والأزرار.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5EA510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1.4.11 (AA)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EF1BAC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6D71BFE2" w14:textId="77777777" w:rsidTr="002B398C">
        <w:tc>
          <w:tcPr>
            <w:tcW w:w="73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22399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08EE1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عدم الاعتماد على اللون فقط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A2BFB9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عدم نقل المعلومات أو إظهار الأخطاء باللون فقط (مثل استخدام أيقونة أو نص مع اللون الأحمر).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A1EE1A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1.4.1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3849BD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50772A23" w14:textId="77777777" w:rsidTr="002B398C">
        <w:tc>
          <w:tcPr>
            <w:tcW w:w="73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DB345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17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73D588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التكبير والتكيف (</w:t>
            </w:r>
            <w:r>
              <w:rPr>
                <w:b/>
                <w:bCs/>
                <w:sz w:val="20"/>
                <w:szCs w:val="20"/>
              </w:rPr>
              <w:t>Zoom</w:t>
            </w:r>
            <w:r>
              <w:rPr>
                <w:b/>
                <w:bCs/>
                <w:sz w:val="20"/>
                <w:szCs w:val="20"/>
                <w:rtl/>
              </w:rPr>
              <w:t xml:space="preserve"> 200%)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D399C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إمكانية تكبير الصفحة إلى 200% دون اختفاء المحتوى أو ظهور شريط التمرير الأفقي غير المرغوب.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BF12D3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1.4.4 (AA)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4216F3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69873F5" w14:textId="00B5C1E7" w:rsidR="001002D6" w:rsidRDefault="002B398C" w:rsidP="00793548">
      <w:pPr>
        <w:pStyle w:val="Heading2"/>
      </w:pPr>
      <w:r>
        <w:rPr>
          <w:rtl/>
        </w:rPr>
        <w:t>3. قراء الشاشة والنصوص البديلة (</w:t>
      </w:r>
      <w:r>
        <w:t>Screen Readers &amp; Semantics</w:t>
      </w:r>
      <w:r>
        <w:rPr>
          <w:rtl/>
        </w:rPr>
        <w:t>)</w:t>
      </w:r>
    </w:p>
    <w:p w14:paraId="21A53F6B" w14:textId="77777777" w:rsidR="001002D6" w:rsidRDefault="0079354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0BD3B3E4">
          <v:rect id="_x0000_i1027" style="width:0;height:1.5pt" o:hralign="center" o:hrstd="t" o:hr="t" fillcolor="#a0a0a0" stroked="f"/>
        </w:pict>
      </w:r>
    </w:p>
    <w:tbl>
      <w:tblPr>
        <w:tblStyle w:val="a2"/>
        <w:bidiVisual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642"/>
        <w:gridCol w:w="2260"/>
        <w:gridCol w:w="3650"/>
        <w:gridCol w:w="1404"/>
        <w:gridCol w:w="1404"/>
      </w:tblGrid>
      <w:tr w:rsidR="001002D6" w14:paraId="7EEC3F14" w14:textId="77777777" w:rsidTr="002B398C">
        <w:trPr>
          <w:tblHeader/>
        </w:trPr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7EB54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حالة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FE251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عنصر الفحص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E290B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الوصف والتفاصيل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D6ABBF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المعيار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87B48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ملاحظات</w:t>
            </w:r>
          </w:p>
          <w:p w14:paraId="532649D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1002D6" w14:paraId="2E596F38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3CF161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04EDA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النصوص البديلة للصور (</w:t>
            </w:r>
            <w:r>
              <w:rPr>
                <w:b/>
                <w:bCs/>
                <w:sz w:val="20"/>
                <w:szCs w:val="20"/>
              </w:rPr>
              <w:t>Alt Text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1F051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توفير وصف دقيق ومختصر لجميع الصور التوضيحية عبر خاصية </w:t>
            </w:r>
            <w:r>
              <w:rPr>
                <w:sz w:val="20"/>
                <w:szCs w:val="20"/>
              </w:rPr>
              <w:t>alt</w:t>
            </w:r>
            <w:r>
              <w:rPr>
                <w:sz w:val="20"/>
                <w:szCs w:val="20"/>
                <w:rtl/>
              </w:rPr>
              <w:t xml:space="preserve"> والتأكد من إخفاء </w:t>
            </w:r>
            <w:r>
              <w:rPr>
                <w:sz w:val="20"/>
                <w:szCs w:val="20"/>
                <w:rtl/>
              </w:rPr>
              <w:lastRenderedPageBreak/>
              <w:t>التزيينية.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12941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WCAG 1.1.1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C78581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6D019EFE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0C8A8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2AB541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العناوين الهيكلية (</w:t>
            </w:r>
            <w:r>
              <w:rPr>
                <w:b/>
                <w:bCs/>
                <w:sz w:val="20"/>
                <w:szCs w:val="20"/>
              </w:rPr>
              <w:t>H1, H2, H</w:t>
            </w:r>
            <w:r>
              <w:rPr>
                <w:b/>
                <w:bCs/>
                <w:sz w:val="20"/>
                <w:szCs w:val="20"/>
                <w:rtl/>
              </w:rPr>
              <w:t>3)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786D83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استخدام العناوين بالتسلسل الصحيح ودون قفز مراتب لقراءة منطقية عبر قارئ الشاشة (</w:t>
            </w:r>
            <w:r>
              <w:rPr>
                <w:sz w:val="20"/>
                <w:szCs w:val="20"/>
              </w:rPr>
              <w:t>NVDA/JAWS</w:t>
            </w:r>
            <w:r>
              <w:rPr>
                <w:sz w:val="20"/>
                <w:szCs w:val="20"/>
                <w:rtl/>
              </w:rPr>
              <w:t>).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0DE778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1.3.1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75DF3A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295D61A9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3D57D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5F4D0A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تسمية الحقول والأزرار (</w:t>
            </w:r>
            <w:r>
              <w:rPr>
                <w:b/>
                <w:bCs/>
                <w:sz w:val="20"/>
                <w:szCs w:val="20"/>
              </w:rPr>
              <w:t>Form Labels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1B373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ربط جميع حقول الإدخال بعناوين صريحة (&lt;</w:t>
            </w:r>
            <w:r>
              <w:rPr>
                <w:sz w:val="20"/>
                <w:szCs w:val="20"/>
              </w:rPr>
              <w:t>label</w:t>
            </w:r>
            <w:r>
              <w:rPr>
                <w:sz w:val="20"/>
                <w:szCs w:val="20"/>
                <w:rtl/>
              </w:rPr>
              <w:t xml:space="preserve">&gt;) وتوفير </w:t>
            </w:r>
            <w:r>
              <w:rPr>
                <w:sz w:val="20"/>
                <w:szCs w:val="20"/>
              </w:rPr>
              <w:t>aria-label</w:t>
            </w:r>
            <w:r>
              <w:rPr>
                <w:sz w:val="20"/>
                <w:szCs w:val="20"/>
                <w:rtl/>
              </w:rPr>
              <w:t xml:space="preserve"> للأزرار التي تحوي أيقونات فقط.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216CB5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3.3.2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5412AD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4396AE5A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78545A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48F73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تحديد لغة الصفحة (</w:t>
            </w:r>
            <w:r>
              <w:rPr>
                <w:b/>
                <w:bCs/>
                <w:sz w:val="20"/>
                <w:szCs w:val="20"/>
              </w:rPr>
              <w:t>Language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417A10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تحديد خاصية </w:t>
            </w:r>
            <w:r>
              <w:rPr>
                <w:sz w:val="20"/>
                <w:szCs w:val="20"/>
              </w:rPr>
              <w:t>lang="</w:t>
            </w:r>
            <w:proofErr w:type="spellStart"/>
            <w:r>
              <w:rPr>
                <w:sz w:val="20"/>
                <w:szCs w:val="20"/>
              </w:rPr>
              <w:t>ar</w:t>
            </w:r>
            <w:proofErr w:type="spellEnd"/>
            <w:r>
              <w:rPr>
                <w:sz w:val="20"/>
                <w:szCs w:val="20"/>
                <w:rtl/>
              </w:rPr>
              <w:t>" في وسم &lt;</w:t>
            </w:r>
            <w:r>
              <w:rPr>
                <w:sz w:val="20"/>
                <w:szCs w:val="20"/>
              </w:rPr>
              <w:t>html</w:t>
            </w:r>
            <w:r>
              <w:rPr>
                <w:sz w:val="20"/>
                <w:szCs w:val="20"/>
                <w:rtl/>
              </w:rPr>
              <w:t>&gt; لتوجيه قارئ الشاشة لنطق الحروف بشكل صحيح.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F4734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3.1.1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F859B8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287B2E24" w14:textId="77777777" w:rsidTr="002B398C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AB899E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CB1A7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تنبيهات التغيير الديناميكي (</w:t>
            </w:r>
            <w:r>
              <w:rPr>
                <w:b/>
                <w:bCs/>
                <w:sz w:val="20"/>
                <w:szCs w:val="20"/>
              </w:rPr>
              <w:t>ARIA Live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C3E7B4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إعلام قراء الشاشة بالتحديثات الفورية (مثل رسائل الخطأ أو تحميل البيانات) باستخدام </w:t>
            </w:r>
            <w:r>
              <w:rPr>
                <w:sz w:val="20"/>
                <w:szCs w:val="20"/>
              </w:rPr>
              <w:t>aria-live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9CCA85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4.1.3 (AA)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1219F9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8A5D5E6" w14:textId="77777777" w:rsidR="001002D6" w:rsidRDefault="002B398C">
      <w:pPr>
        <w:pStyle w:val="Heading2"/>
      </w:pPr>
      <w:r>
        <w:rPr>
          <w:rtl/>
        </w:rPr>
        <w:t>4. سهولة التنقل والنماذج (</w:t>
      </w:r>
      <w:r>
        <w:t>Usability &amp; Form Experience</w:t>
      </w:r>
      <w:r>
        <w:rPr>
          <w:rtl/>
        </w:rPr>
        <w:t>)</w:t>
      </w:r>
    </w:p>
    <w:p w14:paraId="2D0BA296" w14:textId="77777777" w:rsidR="001002D6" w:rsidRDefault="0079354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53A8F869">
          <v:rect id="_x0000_i1028" style="width:0;height:1.5pt" o:hralign="center" o:hrstd="t" o:hr="t" fillcolor="#a0a0a0" stroked="f"/>
        </w:pict>
      </w:r>
    </w:p>
    <w:tbl>
      <w:tblPr>
        <w:tblStyle w:val="a3"/>
        <w:bidiVisual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642"/>
        <w:gridCol w:w="2260"/>
        <w:gridCol w:w="3650"/>
        <w:gridCol w:w="1404"/>
        <w:gridCol w:w="1404"/>
      </w:tblGrid>
      <w:tr w:rsidR="001002D6" w14:paraId="298773EB" w14:textId="77777777" w:rsidTr="00793548">
        <w:trPr>
          <w:tblHeader/>
        </w:trPr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6919A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حالة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09E840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عنصر الفحص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1F84C9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الوصف والتفاصيل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36134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المعيار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8F233F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  <w:rtl/>
              </w:rPr>
              <w:t>ملاحظات</w:t>
            </w:r>
          </w:p>
          <w:p w14:paraId="4B482385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1002D6" w14:paraId="22FE5BFC" w14:textId="77777777" w:rsidTr="00793548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76C69A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ADDFAF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وضوح رسائل الأخطاء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6AF8F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إظهار رسائل خطأ واضحة ومحددة بجانب الحقل المعني توضح الخطوة المطلوبة لتصحيحه.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DE0501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Usability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72D911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53BE9281" w14:textId="77777777" w:rsidTr="00793548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1BA14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07B6C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حجم مناطق اللمس (</w:t>
            </w:r>
            <w:r>
              <w:rPr>
                <w:b/>
                <w:bCs/>
                <w:sz w:val="20"/>
                <w:szCs w:val="20"/>
              </w:rPr>
              <w:t>Touch Targets</w:t>
            </w:r>
            <w:r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FBC5CA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أبعاد الأزرار والعناصر التفاعلية لا تقل عن 44×44 بكسل لسهولة الضغط على شاشات اللمس.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DF938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2.5.5 (AA)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2B5DEA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343DE3C8" w14:textId="77777777" w:rsidTr="00793548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07370E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D7E5E9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منع الإدخال الخاطئ وتأكيد العمليات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9BDC9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توفر خطوة تأكيد للعمليات الحساسة (مثل الحذف أو التحويل المالي) وإمكانية التراجع.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6B12A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3.3.4 (AA)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B78388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38C8A773" w14:textId="77777777" w:rsidTr="00793548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582E5F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F7CD9F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اتساق واتزان التصميم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98482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تثبيت أماكن القوائم، الأزرار، والروابط عبر مختلف الصفحات لضمان عدم تشتيت المستخدم.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1579AF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Usability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E9DCCE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1002D6" w14:paraId="711872DA" w14:textId="77777777" w:rsidTr="00793548">
        <w:tc>
          <w:tcPr>
            <w:tcW w:w="64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CCADBD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22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31DFA9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إيقاف الوسائط والمحتوى المتحرك</w:t>
            </w:r>
          </w:p>
        </w:tc>
        <w:tc>
          <w:tcPr>
            <w:tcW w:w="36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5E327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توفر زر لإيقاف/تشغيل العروض التقديمية المتحركة تلقائياً أو الفيديو لتجنب التشتت.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C37B97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WCAG 2.2.2 (A)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6920B5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1FB10C0" w14:textId="77777777" w:rsidR="001002D6" w:rsidRDefault="002B398C">
      <w:pPr>
        <w:pStyle w:val="Heading2"/>
      </w:pPr>
      <w:r>
        <w:rPr>
          <w:rtl/>
        </w:rPr>
        <w:t>5. ملخص نتيجة الفحص والاعتماد</w:t>
      </w:r>
    </w:p>
    <w:p w14:paraId="27BE83D2" w14:textId="77777777" w:rsidR="001002D6" w:rsidRDefault="0079354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44EB208">
          <v:rect id="_x0000_i1029" style="width:0;height:1.5pt" o:hralign="center" o:hrstd="t" o:hr="t" fillcolor="#a0a0a0" stroked="f"/>
        </w:pict>
      </w:r>
    </w:p>
    <w:tbl>
      <w:tblPr>
        <w:tblStyle w:val="a4"/>
        <w:bidiVisual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1002D6" w14:paraId="0E18B89D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D3E29C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إجمالي العناصر المفحوصة: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A953EA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04F84B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نسبة التوافق الإجمالية: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B64F9B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1002D6" w14:paraId="40E74714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6F2790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عدد المخالفات الحرجة: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4DB8EB" w14:textId="77777777" w:rsidR="001002D6" w:rsidRDefault="001002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BC0801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القرار والتوصية: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8BF94A" w14:textId="77777777" w:rsidR="001002D6" w:rsidRDefault="002B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[ ] معتمد      [ ] يحتاج تعديلات</w:t>
            </w:r>
          </w:p>
        </w:tc>
      </w:tr>
    </w:tbl>
    <w:p w14:paraId="039E90C7" w14:textId="77777777" w:rsidR="001002D6" w:rsidRDefault="001002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1002D6" w:rsidSect="002B398C">
      <w:pgSz w:w="12240" w:h="15840"/>
      <w:pgMar w:top="1440" w:right="1440" w:bottom="1440" w:left="1440" w:header="0" w:footer="720" w:gutter="0"/>
      <w:pgBorders w:offsetFrom="page">
        <w:top w:val="thinThickThinMediumGap" w:sz="6" w:space="24" w:color="auto"/>
        <w:left w:val="thinThickThinMediumGap" w:sz="6" w:space="24" w:color="auto"/>
        <w:bottom w:val="thinThickThinMediumGap" w:sz="6" w:space="24" w:color="auto"/>
        <w:right w:val="thinThickThinMediumGap" w:sz="6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DEE5ED3-6168-4D25-B5EC-BDA0A48FE96E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1190E3F-B92C-4886-9193-8BD62F78D6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F6D4B4E-0A70-47C7-82A8-55197572B6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2D6"/>
    <w:rsid w:val="001002D6"/>
    <w:rsid w:val="002B398C"/>
    <w:rsid w:val="0079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C89D4"/>
  <w15:docId w15:val="{D3F9C052-D7CC-40DE-92CB-F7D2CC96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  <w:bidi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1A365D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75" w:after="255"/>
      <w:outlineLvl w:val="1"/>
    </w:pPr>
    <w:rPr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Abdul Faisal</cp:lastModifiedBy>
  <cp:revision>5</cp:revision>
  <cp:lastPrinted>2026-09-14T06:41:00Z</cp:lastPrinted>
  <dcterms:created xsi:type="dcterms:W3CDTF">2026-09-14T06:39:00Z</dcterms:created>
  <dcterms:modified xsi:type="dcterms:W3CDTF">2026-09-14T06:41:00Z</dcterms:modified>
</cp:coreProperties>
</file>